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rPr>
          <w:rFonts w:hint="eastAsia" w:ascii="仿宋_GB2312" w:hAnsi="仿宋" w:eastAsia="仿宋_GB2312"/>
          <w:sz w:val="28"/>
          <w:szCs w:val="32"/>
        </w:rPr>
      </w:pPr>
    </w:p>
    <w:p>
      <w:pPr>
        <w:spacing w:after="0" w:line="520" w:lineRule="exact"/>
        <w:ind w:left="-141" w:leftChars="-64" w:right="-240" w:rightChars="-109"/>
        <w:jc w:val="center"/>
        <w:outlineLvl w:val="0"/>
        <w:rPr>
          <w:rFonts w:ascii="微软雅黑" w:hAnsi="微软雅黑" w:cs="宋体"/>
          <w:b/>
          <w:bCs/>
          <w:color w:val="000000"/>
          <w:kern w:val="36"/>
          <w:sz w:val="36"/>
          <w:szCs w:val="36"/>
        </w:rPr>
      </w:pPr>
      <w:r>
        <w:rPr>
          <w:rFonts w:hint="eastAsia" w:ascii="微软雅黑" w:hAnsi="微软雅黑" w:cs="宋体"/>
          <w:b/>
          <w:bCs/>
          <w:color w:val="000000"/>
          <w:kern w:val="36"/>
          <w:sz w:val="36"/>
          <w:szCs w:val="36"/>
        </w:rPr>
        <w:t>思政课是落实立德树人根本任务的关键课程</w:t>
      </w:r>
    </w:p>
    <w:p>
      <w:pPr>
        <w:spacing w:after="0" w:line="520" w:lineRule="exact"/>
        <w:jc w:val="center"/>
        <w:rPr>
          <w:rFonts w:ascii="仿宋_GB2312" w:hAnsi="仿宋" w:eastAsia="仿宋_GB2312"/>
          <w:sz w:val="28"/>
          <w:szCs w:val="32"/>
        </w:rPr>
      </w:pPr>
      <w:r>
        <w:rPr>
          <w:rFonts w:hint="eastAsia" w:ascii="仿宋_GB2312" w:hAnsi="仿宋" w:eastAsia="仿宋_GB2312"/>
          <w:sz w:val="28"/>
          <w:szCs w:val="32"/>
        </w:rPr>
        <w:t>（习近平）</w:t>
      </w:r>
    </w:p>
    <w:p>
      <w:pPr>
        <w:spacing w:after="0" w:line="520" w:lineRule="exact"/>
        <w:ind w:firstLine="480" w:firstLineChars="200"/>
        <w:jc w:val="left"/>
        <w:rPr>
          <w:rFonts w:hint="eastAsia" w:ascii="宋体" w:hAnsi="宋体" w:eastAsia="宋体" w:cs="宋体"/>
          <w:sz w:val="24"/>
          <w:szCs w:val="24"/>
          <w:lang w:val="en-US" w:eastAsia="zh-CN"/>
        </w:rPr>
      </w:pPr>
      <w:r>
        <w:rPr>
          <w:rFonts w:ascii="宋体" w:hAnsi="宋体" w:eastAsia="宋体" w:cs="宋体"/>
          <w:sz w:val="24"/>
          <w:szCs w:val="24"/>
        </w:rPr>
        <w:t>来源：</w:t>
      </w:r>
      <w:r>
        <w:rPr>
          <w:rFonts w:hint="eastAsia" w:ascii="宋体" w:hAnsi="宋体" w:eastAsia="宋体" w:cs="宋体"/>
          <w:sz w:val="24"/>
          <w:szCs w:val="24"/>
          <w:lang w:eastAsia="zh-CN"/>
        </w:rPr>
        <w:t>《求是》</w:t>
      </w:r>
    </w:p>
    <w:p>
      <w:pPr>
        <w:spacing w:after="0" w:line="520" w:lineRule="exact"/>
        <w:ind w:firstLine="480" w:firstLineChars="200"/>
        <w:rPr>
          <w:rFonts w:ascii="宋体" w:hAnsi="宋体" w:eastAsia="宋体" w:cs="宋体"/>
          <w:sz w:val="24"/>
          <w:szCs w:val="24"/>
        </w:rPr>
      </w:pP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今天，我们在这里召开学校思想政治理论课教师座谈会。参加会议的主要是大中小学思政课一线教师。首先，我向在座各位老师，向全国大中小学思政课教师，致以诚挚的问候!</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下面，我就几个问题讲点意见，同大家交流。</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第一个问题：办好思想政治理论课意义重大</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spacing w:after="0" w:line="520" w:lineRule="exact"/>
        <w:ind w:firstLine="560" w:firstLineChars="200"/>
        <w:rPr>
          <w:rFonts w:ascii="仿宋_GB2312" w:hAnsi="仿宋" w:eastAsia="仿宋_GB2312"/>
          <w:sz w:val="28"/>
          <w:szCs w:val="32"/>
        </w:rPr>
      </w:pP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第二个问题：办好思想政治理论课关键在教师，关键在发挥教师的积极性、主动性、创造性</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spacing w:after="0" w:line="520" w:lineRule="exact"/>
        <w:rPr>
          <w:rFonts w:ascii="仿宋_GB2312" w:hAnsi="仿宋" w:eastAsia="仿宋_GB2312"/>
          <w:sz w:val="28"/>
          <w:szCs w:val="32"/>
        </w:rPr>
      </w:pP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一，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二，情怀要深。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三，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四，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五，自律要严。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六，人格要正。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第三个问题：推动思想政治理论课改革创新，不断增强思政课的思想性、理论性和亲和力、针对性</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一，坚持政治性和学理性相统一。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二，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三，坚持建设性和批判性相统一。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四，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spacing w:after="0" w:line="520" w:lineRule="exact"/>
        <w:ind w:firstLine="560" w:firstLineChars="200"/>
        <w:rPr>
          <w:rFonts w:ascii="仿宋_GB2312" w:hAnsi="仿宋" w:eastAsia="仿宋_GB2312"/>
          <w:sz w:val="28"/>
          <w:szCs w:val="32"/>
        </w:rPr>
      </w:pP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五，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六，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八，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以上这些，说的是只有打好组合拳，才能讲好思政课，但无论组合拳怎么打，最终要落到把思政课讲得更有亲和力和感染力、更有针对性和实效性上来，实现知、情、意、行的统一，叫人口服心服。</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第四个问题：加强党对思想政治理论课建设的领导</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spacing w:after="0" w:line="520" w:lineRule="exact"/>
        <w:ind w:firstLine="560" w:firstLineChars="200"/>
        <w:rPr>
          <w:rFonts w:ascii="仿宋_GB2312" w:hAnsi="仿宋" w:eastAsia="仿宋_GB2312"/>
          <w:sz w:val="28"/>
          <w:szCs w:val="32"/>
        </w:rPr>
      </w:pP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spacing w:after="0" w:line="520" w:lineRule="exact"/>
        <w:ind w:firstLine="560" w:firstLineChars="200"/>
        <w:rPr>
          <w:rFonts w:hint="eastAsia" w:ascii="仿宋_GB2312" w:hAnsi="仿宋" w:eastAsia="仿宋_GB2312"/>
          <w:sz w:val="28"/>
          <w:szCs w:val="32"/>
        </w:rPr>
      </w:pPr>
      <w:r>
        <w:rPr>
          <w:rFonts w:hint="eastAsia" w:ascii="仿宋_GB2312" w:hAnsi="仿宋" w:eastAsia="仿宋_GB2312"/>
          <w:sz w:val="28"/>
          <w:szCs w:val="32"/>
        </w:rPr>
        <w:t>※这是习近平总书记2019年3月18日在学校思想政治理论课教师座谈会上讲话的主要部分。</w:t>
      </w:r>
      <w:bookmarkStart w:id="0" w:name="_GoBack"/>
      <w:bookmarkEnd w:id="0"/>
    </w:p>
    <w:sectPr>
      <w:pgSz w:w="11906" w:h="16838"/>
      <w:pgMar w:top="1440" w:right="1558"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003"/>
    <w:rsid w:val="00045498"/>
    <w:rsid w:val="00046C06"/>
    <w:rsid w:val="00093E05"/>
    <w:rsid w:val="000A68BA"/>
    <w:rsid w:val="000C53A7"/>
    <w:rsid w:val="000D3F87"/>
    <w:rsid w:val="000D4CA4"/>
    <w:rsid w:val="00125FE7"/>
    <w:rsid w:val="00127CDD"/>
    <w:rsid w:val="00134009"/>
    <w:rsid w:val="001675C1"/>
    <w:rsid w:val="00167ABD"/>
    <w:rsid w:val="00186B7C"/>
    <w:rsid w:val="001A041F"/>
    <w:rsid w:val="001D3E5F"/>
    <w:rsid w:val="00250C1F"/>
    <w:rsid w:val="00266643"/>
    <w:rsid w:val="0028692D"/>
    <w:rsid w:val="002A6986"/>
    <w:rsid w:val="002B1AC7"/>
    <w:rsid w:val="002B694A"/>
    <w:rsid w:val="002E0755"/>
    <w:rsid w:val="002E1CFD"/>
    <w:rsid w:val="002E2924"/>
    <w:rsid w:val="002F3460"/>
    <w:rsid w:val="00320B23"/>
    <w:rsid w:val="00323B43"/>
    <w:rsid w:val="0035144D"/>
    <w:rsid w:val="003720E7"/>
    <w:rsid w:val="00391C62"/>
    <w:rsid w:val="003A62DB"/>
    <w:rsid w:val="003B290D"/>
    <w:rsid w:val="003C119A"/>
    <w:rsid w:val="003D37D8"/>
    <w:rsid w:val="003F280A"/>
    <w:rsid w:val="004044BF"/>
    <w:rsid w:val="0040553A"/>
    <w:rsid w:val="00413184"/>
    <w:rsid w:val="00421C5D"/>
    <w:rsid w:val="00426133"/>
    <w:rsid w:val="00430B09"/>
    <w:rsid w:val="004329AC"/>
    <w:rsid w:val="004358AB"/>
    <w:rsid w:val="00436745"/>
    <w:rsid w:val="00472F4E"/>
    <w:rsid w:val="004A7FF1"/>
    <w:rsid w:val="004B661B"/>
    <w:rsid w:val="004C1633"/>
    <w:rsid w:val="004C19F9"/>
    <w:rsid w:val="004E5DDD"/>
    <w:rsid w:val="005003CD"/>
    <w:rsid w:val="005160B6"/>
    <w:rsid w:val="0055278E"/>
    <w:rsid w:val="0055562A"/>
    <w:rsid w:val="00560B25"/>
    <w:rsid w:val="0057033D"/>
    <w:rsid w:val="00575C79"/>
    <w:rsid w:val="0059007A"/>
    <w:rsid w:val="005B1936"/>
    <w:rsid w:val="005B50A8"/>
    <w:rsid w:val="005E27E7"/>
    <w:rsid w:val="005E3CBE"/>
    <w:rsid w:val="0060633C"/>
    <w:rsid w:val="00635141"/>
    <w:rsid w:val="00647CD9"/>
    <w:rsid w:val="00674D19"/>
    <w:rsid w:val="00684F61"/>
    <w:rsid w:val="006922BB"/>
    <w:rsid w:val="00693A23"/>
    <w:rsid w:val="00693FB2"/>
    <w:rsid w:val="006B2298"/>
    <w:rsid w:val="006B6DD8"/>
    <w:rsid w:val="006C65B5"/>
    <w:rsid w:val="006D0281"/>
    <w:rsid w:val="006F3AC5"/>
    <w:rsid w:val="0070702F"/>
    <w:rsid w:val="00713346"/>
    <w:rsid w:val="00745D93"/>
    <w:rsid w:val="0074622E"/>
    <w:rsid w:val="00756F6E"/>
    <w:rsid w:val="007649EC"/>
    <w:rsid w:val="007655A0"/>
    <w:rsid w:val="007718A7"/>
    <w:rsid w:val="007755CC"/>
    <w:rsid w:val="00777A4D"/>
    <w:rsid w:val="007815B6"/>
    <w:rsid w:val="00787032"/>
    <w:rsid w:val="007B0C4F"/>
    <w:rsid w:val="007B397F"/>
    <w:rsid w:val="007B6FEA"/>
    <w:rsid w:val="007B73D6"/>
    <w:rsid w:val="007C3992"/>
    <w:rsid w:val="007F44CA"/>
    <w:rsid w:val="00813121"/>
    <w:rsid w:val="00835581"/>
    <w:rsid w:val="0086504D"/>
    <w:rsid w:val="00881307"/>
    <w:rsid w:val="0089079D"/>
    <w:rsid w:val="008A587D"/>
    <w:rsid w:val="008B7726"/>
    <w:rsid w:val="008E74BB"/>
    <w:rsid w:val="00917EAC"/>
    <w:rsid w:val="0092454C"/>
    <w:rsid w:val="00924AF5"/>
    <w:rsid w:val="009578D5"/>
    <w:rsid w:val="0096269C"/>
    <w:rsid w:val="0097604A"/>
    <w:rsid w:val="009A0315"/>
    <w:rsid w:val="009B3143"/>
    <w:rsid w:val="00A051EC"/>
    <w:rsid w:val="00A17883"/>
    <w:rsid w:val="00A3191F"/>
    <w:rsid w:val="00A33C53"/>
    <w:rsid w:val="00A418CB"/>
    <w:rsid w:val="00A44972"/>
    <w:rsid w:val="00A51B7F"/>
    <w:rsid w:val="00A667DB"/>
    <w:rsid w:val="00A672CC"/>
    <w:rsid w:val="00A821BF"/>
    <w:rsid w:val="00A87865"/>
    <w:rsid w:val="00AB34EF"/>
    <w:rsid w:val="00AD34EC"/>
    <w:rsid w:val="00AE4F27"/>
    <w:rsid w:val="00AF11D0"/>
    <w:rsid w:val="00B16BFA"/>
    <w:rsid w:val="00B22639"/>
    <w:rsid w:val="00B238C4"/>
    <w:rsid w:val="00B27A91"/>
    <w:rsid w:val="00B43CCD"/>
    <w:rsid w:val="00B47225"/>
    <w:rsid w:val="00B6326C"/>
    <w:rsid w:val="00B7645A"/>
    <w:rsid w:val="00B84A0F"/>
    <w:rsid w:val="00B91BAC"/>
    <w:rsid w:val="00B93D50"/>
    <w:rsid w:val="00BC5074"/>
    <w:rsid w:val="00BD1FE7"/>
    <w:rsid w:val="00BD7BE9"/>
    <w:rsid w:val="00BE706B"/>
    <w:rsid w:val="00C02294"/>
    <w:rsid w:val="00C0780D"/>
    <w:rsid w:val="00C1602B"/>
    <w:rsid w:val="00C622BF"/>
    <w:rsid w:val="00C82C86"/>
    <w:rsid w:val="00C85692"/>
    <w:rsid w:val="00C92992"/>
    <w:rsid w:val="00CC4545"/>
    <w:rsid w:val="00CE4FD6"/>
    <w:rsid w:val="00CF3B30"/>
    <w:rsid w:val="00D05DE4"/>
    <w:rsid w:val="00D27D6F"/>
    <w:rsid w:val="00D31D50"/>
    <w:rsid w:val="00D807C3"/>
    <w:rsid w:val="00D94691"/>
    <w:rsid w:val="00DB4BD3"/>
    <w:rsid w:val="00DB53F4"/>
    <w:rsid w:val="00DD4E9D"/>
    <w:rsid w:val="00DE3523"/>
    <w:rsid w:val="00DE7676"/>
    <w:rsid w:val="00DF17F5"/>
    <w:rsid w:val="00E03282"/>
    <w:rsid w:val="00E2027D"/>
    <w:rsid w:val="00E61468"/>
    <w:rsid w:val="00E97493"/>
    <w:rsid w:val="00EA56F0"/>
    <w:rsid w:val="00EB48D4"/>
    <w:rsid w:val="00EC1D8D"/>
    <w:rsid w:val="00F06405"/>
    <w:rsid w:val="00F0720D"/>
    <w:rsid w:val="00F62925"/>
    <w:rsid w:val="00F66B5B"/>
    <w:rsid w:val="00F72CDD"/>
    <w:rsid w:val="00F74C86"/>
    <w:rsid w:val="00FA21F9"/>
    <w:rsid w:val="00FC45B4"/>
    <w:rsid w:val="00FD43B8"/>
    <w:rsid w:val="00FD52B4"/>
    <w:rsid w:val="00FD70D0"/>
    <w:rsid w:val="00FE1920"/>
    <w:rsid w:val="00FE678C"/>
    <w:rsid w:val="00FE68C7"/>
    <w:rsid w:val="00FF66BA"/>
    <w:rsid w:val="21BC32EC"/>
    <w:rsid w:val="239B58D3"/>
    <w:rsid w:val="2FBA025D"/>
    <w:rsid w:val="3BCA3CC0"/>
    <w:rsid w:val="6C5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qFormat/>
    <w:uiPriority w:val="9"/>
    <w:pPr>
      <w:adjustRightInd/>
      <w:snapToGrid/>
      <w:spacing w:before="100" w:beforeAutospacing="1" w:after="100" w:afterAutospacing="1"/>
      <w:outlineLvl w:val="3"/>
    </w:pPr>
    <w:rPr>
      <w:rFonts w:ascii="宋体" w:hAnsi="宋体" w:eastAsia="宋体" w:cs="宋体"/>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0"/>
    <w:semiHidden/>
    <w:unhideWhenUsed/>
    <w:qFormat/>
    <w:uiPriority w:val="99"/>
    <w:rPr>
      <w:rFonts w:ascii="宋体" w:eastAsia="宋体"/>
      <w:sz w:val="18"/>
      <w:szCs w:val="18"/>
    </w:rPr>
  </w:style>
  <w:style w:type="paragraph" w:styleId="7">
    <w:name w:val="Balloon Text"/>
    <w:basedOn w:val="1"/>
    <w:link w:val="24"/>
    <w:semiHidden/>
    <w:unhideWhenUsed/>
    <w:qFormat/>
    <w:uiPriority w:val="99"/>
    <w:pPr>
      <w:spacing w:after="0"/>
    </w:pPr>
    <w:rPr>
      <w:sz w:val="18"/>
      <w:szCs w:val="18"/>
    </w:rPr>
  </w:style>
  <w:style w:type="paragraph" w:styleId="8">
    <w:name w:val="footer"/>
    <w:basedOn w:val="1"/>
    <w:link w:val="16"/>
    <w:unhideWhenUsed/>
    <w:qFormat/>
    <w:uiPriority w:val="99"/>
    <w:pPr>
      <w:tabs>
        <w:tab w:val="center" w:pos="4153"/>
        <w:tab w:val="right" w:pos="8306"/>
      </w:tabs>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9"/>
    <w:qFormat/>
    <w:uiPriority w:val="99"/>
    <w:rPr>
      <w:rFonts w:ascii="Tahoma" w:hAnsi="Tahoma"/>
      <w:sz w:val="18"/>
      <w:szCs w:val="18"/>
    </w:rPr>
  </w:style>
  <w:style w:type="character" w:customStyle="1" w:styleId="16">
    <w:name w:val="页脚 Char"/>
    <w:basedOn w:val="12"/>
    <w:link w:val="8"/>
    <w:qFormat/>
    <w:uiPriority w:val="99"/>
    <w:rPr>
      <w:rFonts w:ascii="Tahoma" w:hAnsi="Tahoma"/>
      <w:sz w:val="18"/>
      <w:szCs w:val="18"/>
    </w:rPr>
  </w:style>
  <w:style w:type="character" w:customStyle="1" w:styleId="17">
    <w:name w:val="标题 1 Char"/>
    <w:basedOn w:val="12"/>
    <w:link w:val="2"/>
    <w:qFormat/>
    <w:uiPriority w:val="9"/>
    <w:rPr>
      <w:rFonts w:ascii="宋体" w:hAnsi="宋体" w:eastAsia="宋体" w:cs="宋体"/>
      <w:b/>
      <w:bCs/>
      <w:kern w:val="36"/>
      <w:sz w:val="48"/>
      <w:szCs w:val="48"/>
    </w:rPr>
  </w:style>
  <w:style w:type="character" w:customStyle="1" w:styleId="18">
    <w:name w:val="标题 4 Char"/>
    <w:basedOn w:val="12"/>
    <w:link w:val="5"/>
    <w:qFormat/>
    <w:uiPriority w:val="9"/>
    <w:rPr>
      <w:rFonts w:ascii="宋体" w:hAnsi="宋体" w:eastAsia="宋体" w:cs="宋体"/>
      <w:b/>
      <w:bCs/>
      <w:sz w:val="24"/>
      <w:szCs w:val="24"/>
    </w:rPr>
  </w:style>
  <w:style w:type="character" w:customStyle="1" w:styleId="19">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20">
    <w:name w:val="文档结构图 Char"/>
    <w:basedOn w:val="12"/>
    <w:link w:val="6"/>
    <w:semiHidden/>
    <w:qFormat/>
    <w:uiPriority w:val="99"/>
    <w:rPr>
      <w:rFonts w:ascii="宋体" w:hAnsi="Tahoma" w:eastAsia="宋体"/>
      <w:sz w:val="18"/>
      <w:szCs w:val="18"/>
    </w:rPr>
  </w:style>
  <w:style w:type="character" w:customStyle="1" w:styleId="21">
    <w:name w:val="标题 3 Char"/>
    <w:basedOn w:val="12"/>
    <w:link w:val="4"/>
    <w:semiHidden/>
    <w:qFormat/>
    <w:uiPriority w:val="9"/>
    <w:rPr>
      <w:rFonts w:ascii="Tahoma" w:hAnsi="Tahoma"/>
      <w:b/>
      <w:bCs/>
      <w:sz w:val="32"/>
      <w:szCs w:val="32"/>
    </w:rPr>
  </w:style>
  <w:style w:type="paragraph" w:customStyle="1" w:styleId="22">
    <w:name w:val="sou"/>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3">
    <w:name w:val="pictext"/>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4">
    <w:name w:val="批注框文本 Char"/>
    <w:basedOn w:val="12"/>
    <w:link w:val="7"/>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1506</Words>
  <Characters>8587</Characters>
  <Lines>71</Lines>
  <Paragraphs>20</Paragraphs>
  <TotalTime>3</TotalTime>
  <ScaleCrop>false</ScaleCrop>
  <LinksUpToDate>false</LinksUpToDate>
  <CharactersWithSpaces>10073</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2020-09-01T04:55:00Z</dcterms:created>
  <dc:creator>Administrator</dc:creator>
  <cp:lastModifiedBy>dell</cp:lastModifiedBy>
  <dcterms:modified xsi:type="dcterms:W3CDTF">2020-09-04T03:33:46Z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